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3AF" w:rsidRDefault="00A96543">
      <w:pPr>
        <w:rPr>
          <w:rFonts w:ascii="Times New Roman" w:hAnsi="Times New Roman"/>
          <w:sz w:val="22"/>
        </w:rPr>
      </w:pPr>
      <w:r>
        <w:rPr>
          <w:rFonts w:ascii="Times New Roman" w:hAnsi="Times New Roman"/>
          <w:b/>
          <w:sz w:val="22"/>
        </w:rPr>
        <w:t xml:space="preserve">Question: </w:t>
      </w:r>
      <w:r>
        <w:rPr>
          <w:rFonts w:ascii="Times New Roman" w:hAnsi="Times New Roman"/>
          <w:sz w:val="22"/>
        </w:rPr>
        <w:t xml:space="preserve">The recently published book on Canadian political science, </w:t>
      </w:r>
      <w:r>
        <w:rPr>
          <w:rFonts w:ascii="Times New Roman" w:hAnsi="Times New Roman"/>
          <w:i/>
          <w:sz w:val="22"/>
        </w:rPr>
        <w:t>The Comparative Turn</w:t>
      </w:r>
      <w:r>
        <w:rPr>
          <w:rFonts w:ascii="Times New Roman" w:hAnsi="Times New Roman"/>
          <w:sz w:val="22"/>
        </w:rPr>
        <w:t>, has chapters on federalism and on the courts, but nothing on other Canadian governmental institutions. If you were asked to write a chapter for the second edition of the book, rectifying this oversight, what would you say about the Canadian literature on governmental institutions in terms of how non-Canadian literature has influenced it and what it has to offer the study of other political systems?</w:t>
      </w:r>
    </w:p>
    <w:p w:rsidR="00F429CE" w:rsidRDefault="00F429CE">
      <w:pPr>
        <w:rPr>
          <w:rFonts w:ascii="Times New Roman" w:hAnsi="Times New Roman"/>
          <w:sz w:val="22"/>
        </w:rPr>
      </w:pPr>
    </w:p>
    <w:p w:rsidR="00F429CE" w:rsidRDefault="00F429CE">
      <w:pPr>
        <w:rPr>
          <w:rFonts w:ascii="Times New Roman" w:hAnsi="Times New Roman"/>
          <w:sz w:val="22"/>
        </w:rPr>
      </w:pPr>
      <w:r>
        <w:rPr>
          <w:rFonts w:ascii="Times New Roman" w:hAnsi="Times New Roman"/>
          <w:sz w:val="22"/>
        </w:rPr>
        <w:tab/>
        <w:t>In distilling the topic down to a salient sub-field on governmental institutions, the chapter would primarily focus on the literature developing on Legislatures and Executives. This is a particularly good literature to choose from, as it has begun to undergo its own comparative turn. The chapter would be broken up into two main components: the first section of the chapter would focus on the reliance in the Canadian literature (until recently) on what has been termed the “Responsible Government Approach”; while the second half of the chapter would focus on the comparative turn currently underway. These two components will be briefly outlined here.</w:t>
      </w:r>
    </w:p>
    <w:p w:rsidR="00AC2E85" w:rsidRPr="004973AF" w:rsidRDefault="00F429CE" w:rsidP="004973AF">
      <w:pPr>
        <w:rPr>
          <w:rFonts w:ascii="Times New Roman" w:hAnsi="Times New Roman"/>
          <w:b/>
          <w:i/>
          <w:sz w:val="22"/>
        </w:rPr>
      </w:pPr>
      <w:r>
        <w:rPr>
          <w:rFonts w:ascii="Times New Roman" w:hAnsi="Times New Roman"/>
          <w:sz w:val="22"/>
        </w:rPr>
        <w:tab/>
        <w:t xml:space="preserve">The responsible government approach has really defined the literature on legislatures and the executive in Canada. Though it originally borrowed from an older British tradition (Dicey), it </w:t>
      </w:r>
      <w:r w:rsidR="00D93CE2">
        <w:rPr>
          <w:rFonts w:ascii="Times New Roman" w:hAnsi="Times New Roman"/>
          <w:sz w:val="22"/>
        </w:rPr>
        <w:t>since</w:t>
      </w:r>
      <w:r>
        <w:rPr>
          <w:rFonts w:ascii="Times New Roman" w:hAnsi="Times New Roman"/>
          <w:sz w:val="22"/>
        </w:rPr>
        <w:t xml:space="preserve"> </w:t>
      </w:r>
      <w:r w:rsidR="00D93CE2">
        <w:rPr>
          <w:rFonts w:ascii="Times New Roman" w:hAnsi="Times New Roman"/>
          <w:sz w:val="22"/>
        </w:rPr>
        <w:t>became</w:t>
      </w:r>
      <w:r>
        <w:rPr>
          <w:rFonts w:ascii="Times New Roman" w:hAnsi="Times New Roman"/>
          <w:sz w:val="22"/>
        </w:rPr>
        <w:t xml:space="preserve"> the core component in legislative studies in Canada. The approach is characterized as being strongly normative in its defence of the </w:t>
      </w:r>
      <w:r w:rsidR="00AC2E85">
        <w:rPr>
          <w:rFonts w:ascii="Times New Roman" w:hAnsi="Times New Roman"/>
          <w:sz w:val="22"/>
        </w:rPr>
        <w:t>existing parliamentary system. The responsible government approach has been widely utilized</w:t>
      </w:r>
      <w:r w:rsidR="00D93CE2">
        <w:rPr>
          <w:rFonts w:ascii="Times New Roman" w:hAnsi="Times New Roman"/>
          <w:sz w:val="22"/>
        </w:rPr>
        <w:t xml:space="preserve"> in Canadian political science. White, in his article “The Coalition that </w:t>
      </w:r>
      <w:proofErr w:type="gramStart"/>
      <w:r w:rsidR="00D93CE2">
        <w:rPr>
          <w:rFonts w:ascii="Times New Roman" w:hAnsi="Times New Roman"/>
          <w:sz w:val="22"/>
        </w:rPr>
        <w:t>Wasn’t</w:t>
      </w:r>
      <w:proofErr w:type="gramEnd"/>
      <w:r w:rsidR="00D93CE2">
        <w:rPr>
          <w:rFonts w:ascii="Times New Roman" w:hAnsi="Times New Roman"/>
          <w:sz w:val="22"/>
        </w:rPr>
        <w:t>” describes himself as an “</w:t>
      </w:r>
      <w:proofErr w:type="spellStart"/>
      <w:r w:rsidR="00D93CE2">
        <w:rPr>
          <w:rFonts w:ascii="Times New Roman" w:hAnsi="Times New Roman"/>
          <w:sz w:val="22"/>
        </w:rPr>
        <w:t>unabased</w:t>
      </w:r>
      <w:proofErr w:type="spellEnd"/>
      <w:r w:rsidR="00D93CE2">
        <w:rPr>
          <w:rFonts w:ascii="Times New Roman" w:hAnsi="Times New Roman"/>
          <w:sz w:val="22"/>
        </w:rPr>
        <w:t xml:space="preserve">” fan of the Westminster system, while others, such as Jennifer Smith and S. Sutherland, have invoked the responsible government approach in defending Canada’s institutions from reform. </w:t>
      </w:r>
    </w:p>
    <w:p w:rsidR="001756DA" w:rsidRDefault="004973AF" w:rsidP="00D93CE2">
      <w:pPr>
        <w:ind w:firstLine="720"/>
        <w:rPr>
          <w:rFonts w:ascii="Times New Roman" w:hAnsi="Times New Roman"/>
          <w:sz w:val="22"/>
        </w:rPr>
      </w:pPr>
      <w:r>
        <w:rPr>
          <w:rFonts w:ascii="Times New Roman" w:hAnsi="Times New Roman"/>
          <w:sz w:val="22"/>
        </w:rPr>
        <w:t>However, the criticisms of this approach (the Canadian approach) to</w:t>
      </w:r>
      <w:r w:rsidR="001756DA">
        <w:rPr>
          <w:rFonts w:ascii="Times New Roman" w:hAnsi="Times New Roman"/>
          <w:sz w:val="22"/>
        </w:rPr>
        <w:t xml:space="preserve"> </w:t>
      </w:r>
      <w:r>
        <w:rPr>
          <w:rFonts w:ascii="Times New Roman" w:hAnsi="Times New Roman"/>
          <w:sz w:val="22"/>
        </w:rPr>
        <w:t>the</w:t>
      </w:r>
      <w:r w:rsidR="001756DA">
        <w:rPr>
          <w:rFonts w:ascii="Times New Roman" w:hAnsi="Times New Roman"/>
          <w:sz w:val="22"/>
        </w:rPr>
        <w:t xml:space="preserve"> study of legislatures and the executive are long-standing. In 1984, </w:t>
      </w:r>
      <w:proofErr w:type="spellStart"/>
      <w:r w:rsidR="001756DA">
        <w:rPr>
          <w:rFonts w:ascii="Times New Roman" w:hAnsi="Times New Roman"/>
          <w:sz w:val="22"/>
        </w:rPr>
        <w:t>Sroule</w:t>
      </w:r>
      <w:proofErr w:type="spellEnd"/>
      <w:r w:rsidR="001756DA">
        <w:rPr>
          <w:rFonts w:ascii="Times New Roman" w:hAnsi="Times New Roman"/>
          <w:sz w:val="22"/>
        </w:rPr>
        <w:t xml:space="preserve">-Jones complained that Canadians uncritically accept the Westminster system without considering alternative arrangements or exploring the principles of institutional design. Nearly a decade later, Atkinson and Thomas in argued that Canadian legislative studies remain primarily descriptive, </w:t>
      </w:r>
      <w:proofErr w:type="spellStart"/>
      <w:r w:rsidR="001756DA">
        <w:rPr>
          <w:rFonts w:ascii="Times New Roman" w:hAnsi="Times New Roman"/>
          <w:sz w:val="22"/>
        </w:rPr>
        <w:t>atheoretical</w:t>
      </w:r>
      <w:proofErr w:type="spellEnd"/>
      <w:r w:rsidR="001756DA">
        <w:rPr>
          <w:rFonts w:ascii="Times New Roman" w:hAnsi="Times New Roman"/>
          <w:sz w:val="22"/>
        </w:rPr>
        <w:t xml:space="preserve">, and isolated from the comparative literature. They critique the literature on a number of fronts, arguing that (1) there is no theory of legislative influence; (2) that Canadians fail to employ a well-defined definition of representation within their system of governance; (3) that there is little understanding about the legislative careers of members of parliament; and that (4) there is little understanding of how party discipline has eroded responsible government. </w:t>
      </w:r>
    </w:p>
    <w:p w:rsidR="004973AF" w:rsidRDefault="001756DA" w:rsidP="004973AF">
      <w:pPr>
        <w:ind w:firstLine="720"/>
        <w:rPr>
          <w:rFonts w:ascii="Times New Roman" w:hAnsi="Times New Roman"/>
          <w:sz w:val="22"/>
        </w:rPr>
      </w:pPr>
      <w:r>
        <w:rPr>
          <w:rFonts w:ascii="Times New Roman" w:hAnsi="Times New Roman"/>
          <w:sz w:val="22"/>
        </w:rPr>
        <w:t>Nearly a decade following Atkinson and Thomas</w:t>
      </w:r>
      <w:r w:rsidR="00D93CE2">
        <w:rPr>
          <w:rFonts w:ascii="Times New Roman" w:hAnsi="Times New Roman"/>
          <w:sz w:val="22"/>
        </w:rPr>
        <w:t xml:space="preserve"> (presumably because their advice was not adequately followed), in 2002,</w:t>
      </w:r>
      <w:r>
        <w:rPr>
          <w:rFonts w:ascii="Times New Roman" w:hAnsi="Times New Roman"/>
          <w:sz w:val="22"/>
        </w:rPr>
        <w:t xml:space="preserve"> Jonathan </w:t>
      </w:r>
      <w:r w:rsidR="00AC2E85">
        <w:rPr>
          <w:rFonts w:ascii="Times New Roman" w:hAnsi="Times New Roman"/>
          <w:sz w:val="22"/>
        </w:rPr>
        <w:t>Malloy</w:t>
      </w:r>
      <w:r w:rsidR="004973AF">
        <w:rPr>
          <w:rFonts w:ascii="Times New Roman" w:hAnsi="Times New Roman"/>
          <w:sz w:val="22"/>
        </w:rPr>
        <w:t xml:space="preserve"> built</w:t>
      </w:r>
      <w:r>
        <w:rPr>
          <w:rFonts w:ascii="Times New Roman" w:hAnsi="Times New Roman"/>
          <w:sz w:val="22"/>
        </w:rPr>
        <w:t xml:space="preserve"> on these arguments in his article “The ‘Responsible Government Approach’ and its effect on Canadian legislative studies,” arguing in turn </w:t>
      </w:r>
      <w:r w:rsidR="00AC2E85">
        <w:rPr>
          <w:rFonts w:ascii="Times New Roman" w:hAnsi="Times New Roman"/>
          <w:sz w:val="22"/>
        </w:rPr>
        <w:t>that the Respo</w:t>
      </w:r>
      <w:r>
        <w:rPr>
          <w:rFonts w:ascii="Times New Roman" w:hAnsi="Times New Roman"/>
          <w:sz w:val="22"/>
        </w:rPr>
        <w:t>n</w:t>
      </w:r>
      <w:r w:rsidR="00AC2E85">
        <w:rPr>
          <w:rFonts w:ascii="Times New Roman" w:hAnsi="Times New Roman"/>
          <w:sz w:val="22"/>
        </w:rPr>
        <w:t>sible Government Approach is hindered by two key problems. The first is that many of the key tenets or claims of RGA are hidden out of sight, and are thus very difficult to test empirically (i.e. that backbenchers have policy or caucus influence). The second problem is that the approach emphasizes accountability so strongly that it appears to undervalue such complementary principles of representation and responsiveness.</w:t>
      </w:r>
    </w:p>
    <w:p w:rsidR="00BB1957" w:rsidRDefault="004973AF" w:rsidP="00BB1957">
      <w:pPr>
        <w:ind w:firstLine="720"/>
        <w:rPr>
          <w:rFonts w:ascii="Times New Roman" w:hAnsi="Times New Roman"/>
          <w:sz w:val="22"/>
        </w:rPr>
      </w:pPr>
      <w:r>
        <w:rPr>
          <w:rFonts w:ascii="Times New Roman" w:hAnsi="Times New Roman"/>
          <w:sz w:val="22"/>
        </w:rPr>
        <w:t>In considering, now, where the study of Legislatures and Executives sits in 2012 (again, a decade after the last critical essay</w:t>
      </w:r>
      <w:r w:rsidR="00BB1957">
        <w:rPr>
          <w:rFonts w:ascii="Times New Roman" w:hAnsi="Times New Roman"/>
          <w:sz w:val="22"/>
        </w:rPr>
        <w:t xml:space="preserve"> by Malloy</w:t>
      </w:r>
      <w:r>
        <w:rPr>
          <w:rFonts w:ascii="Times New Roman" w:hAnsi="Times New Roman"/>
          <w:sz w:val="22"/>
        </w:rPr>
        <w:t xml:space="preserve">), some significant moves forward can be seen. Malloy, in the conclusion of his article, pointed to a “few glimmers of hope” in the work of </w:t>
      </w:r>
      <w:proofErr w:type="spellStart"/>
      <w:r>
        <w:rPr>
          <w:rFonts w:ascii="Times New Roman" w:hAnsi="Times New Roman"/>
          <w:sz w:val="22"/>
        </w:rPr>
        <w:t>Kam</w:t>
      </w:r>
      <w:proofErr w:type="spellEnd"/>
      <w:r>
        <w:rPr>
          <w:rFonts w:ascii="Times New Roman" w:hAnsi="Times New Roman"/>
          <w:sz w:val="22"/>
        </w:rPr>
        <w:t xml:space="preserve"> and Schneider. These works, and others, have begun to truly change the face of this sub-field. In work of these – and other – authors, a truly comparative turn is underway. </w:t>
      </w:r>
      <w:proofErr w:type="spellStart"/>
      <w:r w:rsidR="00A96543">
        <w:rPr>
          <w:rFonts w:ascii="Times New Roman" w:hAnsi="Times New Roman"/>
          <w:sz w:val="22"/>
        </w:rPr>
        <w:t>Soroka</w:t>
      </w:r>
      <w:proofErr w:type="spellEnd"/>
      <w:r w:rsidR="00A96543">
        <w:rPr>
          <w:rFonts w:ascii="Times New Roman" w:hAnsi="Times New Roman"/>
          <w:sz w:val="22"/>
        </w:rPr>
        <w:t xml:space="preserve"> </w:t>
      </w:r>
      <w:r w:rsidR="00BB1957">
        <w:rPr>
          <w:rFonts w:ascii="Times New Roman" w:hAnsi="Times New Roman"/>
          <w:sz w:val="22"/>
        </w:rPr>
        <w:t xml:space="preserve">is </w:t>
      </w:r>
      <w:r w:rsidR="00A96543">
        <w:rPr>
          <w:rFonts w:ascii="Times New Roman" w:hAnsi="Times New Roman"/>
          <w:sz w:val="22"/>
        </w:rPr>
        <w:t xml:space="preserve">in dialogue with the US, while </w:t>
      </w:r>
      <w:proofErr w:type="spellStart"/>
      <w:r w:rsidR="00A96543">
        <w:rPr>
          <w:rFonts w:ascii="Times New Roman" w:hAnsi="Times New Roman"/>
          <w:sz w:val="22"/>
        </w:rPr>
        <w:t>Kam</w:t>
      </w:r>
      <w:proofErr w:type="spellEnd"/>
      <w:r w:rsidR="00A96543">
        <w:rPr>
          <w:rFonts w:ascii="Times New Roman" w:hAnsi="Times New Roman"/>
          <w:sz w:val="22"/>
        </w:rPr>
        <w:t xml:space="preserve"> is with the British </w:t>
      </w:r>
      <w:proofErr w:type="gramStart"/>
      <w:r w:rsidR="00A96543">
        <w:rPr>
          <w:rFonts w:ascii="Times New Roman" w:hAnsi="Times New Roman"/>
          <w:sz w:val="22"/>
        </w:rPr>
        <w:t>empire</w:t>
      </w:r>
      <w:proofErr w:type="gramEnd"/>
      <w:r w:rsidR="00A96543">
        <w:rPr>
          <w:rFonts w:ascii="Times New Roman" w:hAnsi="Times New Roman"/>
          <w:sz w:val="22"/>
        </w:rPr>
        <w:t xml:space="preserve"> – UK, Australia, NZ – </w:t>
      </w:r>
      <w:proofErr w:type="spellStart"/>
      <w:r w:rsidR="00A96543">
        <w:rPr>
          <w:rFonts w:ascii="Times New Roman" w:hAnsi="Times New Roman"/>
          <w:sz w:val="22"/>
        </w:rPr>
        <w:t>Kam</w:t>
      </w:r>
      <w:proofErr w:type="spellEnd"/>
      <w:r w:rsidR="00A96543">
        <w:rPr>
          <w:rFonts w:ascii="Times New Roman" w:hAnsi="Times New Roman"/>
          <w:sz w:val="22"/>
        </w:rPr>
        <w:t xml:space="preserve"> looks at when do legislators vote against their parties, while </w:t>
      </w:r>
      <w:proofErr w:type="spellStart"/>
      <w:r w:rsidR="00A96543">
        <w:rPr>
          <w:rFonts w:ascii="Times New Roman" w:hAnsi="Times New Roman"/>
          <w:sz w:val="22"/>
        </w:rPr>
        <w:t>Soroka</w:t>
      </w:r>
      <w:proofErr w:type="spellEnd"/>
      <w:r w:rsidR="00A96543">
        <w:rPr>
          <w:rFonts w:ascii="Times New Roman" w:hAnsi="Times New Roman"/>
          <w:sz w:val="22"/>
        </w:rPr>
        <w:t xml:space="preserve"> looks at constituency influence on question period (as a proxy for legislative/parliamentary life)</w:t>
      </w:r>
      <w:r w:rsidR="00BB1957">
        <w:rPr>
          <w:rFonts w:ascii="Times New Roman" w:hAnsi="Times New Roman"/>
          <w:sz w:val="22"/>
        </w:rPr>
        <w:t xml:space="preserve">. Meanwhile, in the same vein as </w:t>
      </w:r>
      <w:proofErr w:type="spellStart"/>
      <w:r w:rsidR="00BB1957">
        <w:rPr>
          <w:rFonts w:ascii="Times New Roman" w:hAnsi="Times New Roman"/>
          <w:sz w:val="22"/>
        </w:rPr>
        <w:t>Kam</w:t>
      </w:r>
      <w:proofErr w:type="spellEnd"/>
      <w:r w:rsidR="00BB1957">
        <w:rPr>
          <w:rFonts w:ascii="Times New Roman" w:hAnsi="Times New Roman"/>
          <w:sz w:val="22"/>
        </w:rPr>
        <w:t xml:space="preserve">, Garner and </w:t>
      </w:r>
      <w:proofErr w:type="spellStart"/>
      <w:r w:rsidR="00BB1957">
        <w:rPr>
          <w:rFonts w:ascii="Times New Roman" w:hAnsi="Times New Roman"/>
          <w:sz w:val="22"/>
        </w:rPr>
        <w:t>Letki</w:t>
      </w:r>
      <w:proofErr w:type="spellEnd"/>
      <w:r w:rsidR="00BB1957">
        <w:rPr>
          <w:rFonts w:ascii="Times New Roman" w:hAnsi="Times New Roman"/>
          <w:sz w:val="22"/>
        </w:rPr>
        <w:t xml:space="preserve"> consider intra-party determinants of dissenting behaviour of government backbenchers. </w:t>
      </w:r>
      <w:r w:rsidR="00BB1957">
        <w:rPr>
          <w:rFonts w:ascii="Times New Roman" w:hAnsi="Times New Roman"/>
          <w:sz w:val="22"/>
        </w:rPr>
        <w:tab/>
      </w:r>
      <w:proofErr w:type="spellStart"/>
      <w:r w:rsidR="00BB1957">
        <w:rPr>
          <w:rFonts w:ascii="Times New Roman" w:hAnsi="Times New Roman"/>
          <w:sz w:val="22"/>
        </w:rPr>
        <w:t>Kam</w:t>
      </w:r>
      <w:proofErr w:type="spellEnd"/>
      <w:r w:rsidR="00BB1957">
        <w:rPr>
          <w:rFonts w:ascii="Times New Roman" w:hAnsi="Times New Roman"/>
          <w:sz w:val="22"/>
        </w:rPr>
        <w:t xml:space="preserve"> and </w:t>
      </w:r>
      <w:proofErr w:type="spellStart"/>
      <w:r w:rsidR="00BB1957">
        <w:rPr>
          <w:rFonts w:ascii="Times New Roman" w:hAnsi="Times New Roman"/>
          <w:sz w:val="22"/>
        </w:rPr>
        <w:t>Indridason</w:t>
      </w:r>
      <w:proofErr w:type="spellEnd"/>
      <w:r w:rsidR="00BB1957">
        <w:rPr>
          <w:rFonts w:ascii="Times New Roman" w:hAnsi="Times New Roman"/>
          <w:sz w:val="22"/>
        </w:rPr>
        <w:t xml:space="preserve"> consider the timing of cabinet reshuffles.</w:t>
      </w:r>
    </w:p>
    <w:p w:rsidR="00A96543" w:rsidRDefault="00A96543" w:rsidP="00BB1957">
      <w:pPr>
        <w:rPr>
          <w:rFonts w:ascii="Times New Roman" w:hAnsi="Times New Roman"/>
          <w:sz w:val="22"/>
        </w:rPr>
      </w:pPr>
    </w:p>
    <w:p w:rsidR="00A96543" w:rsidRPr="00982D27" w:rsidRDefault="00982D27" w:rsidP="00D93CE2">
      <w:pPr>
        <w:rPr>
          <w:rFonts w:ascii="Times New Roman" w:hAnsi="Times New Roman"/>
          <w:sz w:val="22"/>
        </w:rPr>
      </w:pPr>
      <w:r>
        <w:rPr>
          <w:rFonts w:ascii="Times New Roman" w:hAnsi="Times New Roman"/>
          <w:sz w:val="22"/>
        </w:rPr>
        <w:tab/>
        <w:t>Change is possible from within – something that White insists on</w:t>
      </w:r>
    </w:p>
    <w:p w:rsidR="00A96543" w:rsidRPr="00A96543" w:rsidRDefault="00A96543" w:rsidP="00A96543">
      <w:pPr>
        <w:ind w:left="1440"/>
        <w:rPr>
          <w:rFonts w:ascii="Times New Roman" w:hAnsi="Times New Roman"/>
          <w:sz w:val="22"/>
        </w:rPr>
      </w:pPr>
    </w:p>
    <w:sectPr w:rsidR="00A96543" w:rsidRPr="00A96543" w:rsidSect="00A96543">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B4144F"/>
    <w:multiLevelType w:val="hybridMultilevel"/>
    <w:tmpl w:val="7574804E"/>
    <w:lvl w:ilvl="0" w:tplc="0AEA2A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9BF0F47"/>
    <w:multiLevelType w:val="hybridMultilevel"/>
    <w:tmpl w:val="EEF821E0"/>
    <w:lvl w:ilvl="0" w:tplc="D5328E8A">
      <w:start w:val="10"/>
      <w:numFmt w:val="bullet"/>
      <w:lvlText w:val="-"/>
      <w:lvlJc w:val="left"/>
      <w:pPr>
        <w:ind w:left="1080" w:hanging="360"/>
      </w:pPr>
      <w:rPr>
        <w:rFonts w:ascii="Times New Roman" w:eastAsiaTheme="minorHAnsi" w:hAnsi="Times New Roman" w:cstheme="minorBidi"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96543"/>
    <w:rsid w:val="001756DA"/>
    <w:rsid w:val="004973AF"/>
    <w:rsid w:val="00982D27"/>
    <w:rsid w:val="00A96543"/>
    <w:rsid w:val="00AC2E85"/>
    <w:rsid w:val="00BB1957"/>
    <w:rsid w:val="00D93CE2"/>
    <w:rsid w:val="00F429CE"/>
    <w:rsid w:val="00FE696D"/>
  </w:rsids>
  <m:mathPr>
    <m:mathFont m:val="ヒラギノ角ゴ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648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82D27"/>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2</Pages>
  <Words>611</Words>
  <Characters>3487</Characters>
  <Application>Microsoft Macintosh Word</Application>
  <DocSecurity>0</DocSecurity>
  <Lines>29</Lines>
  <Paragraphs>6</Paragraphs>
  <ScaleCrop>false</ScaleCrop>
  <LinksUpToDate>false</LinksUpToDate>
  <CharactersWithSpaces>4282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2</cp:revision>
  <dcterms:created xsi:type="dcterms:W3CDTF">2012-05-14T15:39:00Z</dcterms:created>
  <dcterms:modified xsi:type="dcterms:W3CDTF">2012-05-14T23:55:00Z</dcterms:modified>
</cp:coreProperties>
</file>